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14,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BOTH Declensions and Translating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Fill in both charts below.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u w:val="single"/>
          <w:rtl w:val="0"/>
        </w:rPr>
        <w:t xml:space="preserve">1st Declension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case</w:t>
        <w:tab/>
        <w:tab/>
        <w:tab/>
        <w:tab/>
        <w:t xml:space="preserve">     singular</w:t>
        <w:tab/>
        <w:tab/>
        <w:tab/>
        <w:t xml:space="preserve">          plural</w:t>
      </w:r>
    </w:p>
    <w:tbl>
      <w:tblPr>
        <w:tblStyle w:val="Table1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u w:val="single"/>
          <w:rtl w:val="0"/>
        </w:rPr>
        <w:t xml:space="preserve">2nd Declension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case</w:t>
        <w:tab/>
        <w:tab/>
        <w:tab/>
        <w:tab/>
        <w:t xml:space="preserve">     singular</w:t>
        <w:tab/>
        <w:tab/>
        <w:tab/>
        <w:t xml:space="preserve">          plural</w:t>
      </w:r>
    </w:p>
    <w:tbl>
      <w:tblPr>
        <w:tblStyle w:val="Table2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Do nouns ever switch declensions?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How can you tell which declension a noun is in?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b w:val="1"/>
          <w:rtl w:val="0"/>
        </w:rPr>
        <w:t xml:space="preserve">Now</w:t>
      </w:r>
      <w:r w:rsidRPr="00000000" w:rsidR="00000000" w:rsidDel="00000000">
        <w:rPr>
          <w:rtl w:val="0"/>
        </w:rPr>
        <w:t xml:space="preserve">, translate lines 1-8 of the “Flaccus Quintum laudat” story on p. 20 (on the back or on a separate sheet)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b w:val="1"/>
          <w:rtl w:val="0"/>
        </w:rPr>
        <w:t xml:space="preserve">Finally</w:t>
      </w:r>
      <w:r w:rsidRPr="00000000" w:rsidR="00000000" w:rsidDel="00000000">
        <w:rPr>
          <w:rtl w:val="0"/>
        </w:rPr>
        <w:t xml:space="preserve">, on the back of this sheet, write down mnemonics (tricks) for at least 5 of the 11 verbs in the Chapter 3 vocabulary box on p. 19.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both declensions.docx</dc:title>
</cp:coreProperties>
</file>